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7B2" w:rsidRPr="00DF67B2" w:rsidRDefault="00DF67B2" w:rsidP="00DF67B2">
      <w:pPr>
        <w:pStyle w:val="Subtitle"/>
        <w:ind w:left="2880" w:firstLine="720"/>
        <w:rPr>
          <w:noProof/>
          <w:color w:val="000000" w:themeColor="text1"/>
          <w:lang w:bidi="hi-IN"/>
        </w:rPr>
      </w:pPr>
      <w:r w:rsidRPr="00DF67B2">
        <w:rPr>
          <w:noProof/>
          <w:color w:val="000000" w:themeColor="text1"/>
          <w:lang w:bidi="hi-IN"/>
        </w:rPr>
        <w:drawing>
          <wp:inline distT="0" distB="0" distL="0" distR="0">
            <wp:extent cx="1619250" cy="2105025"/>
            <wp:effectExtent l="0" t="0" r="0" b="9525"/>
            <wp:docPr id="1" name="Picture 1" descr="C:\Users\Nishant\Desktop\Photo Abhin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hant\Desktop\Photo Abhinav.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250" cy="2105025"/>
                    </a:xfrm>
                    <a:prstGeom prst="rect">
                      <a:avLst/>
                    </a:prstGeom>
                    <a:noFill/>
                    <a:ln>
                      <a:noFill/>
                    </a:ln>
                  </pic:spPr>
                </pic:pic>
              </a:graphicData>
            </a:graphic>
          </wp:inline>
        </w:drawing>
      </w:r>
    </w:p>
    <w:p w:rsidR="00DF67B2" w:rsidRPr="00DF67B2" w:rsidRDefault="00DF67B2" w:rsidP="00DF67B2">
      <w:pPr>
        <w:pStyle w:val="Subtitle"/>
        <w:rPr>
          <w:rFonts w:eastAsia="Times New Roman" w:cs="Arial"/>
          <w:b/>
          <w:bCs/>
          <w:color w:val="000000" w:themeColor="text1"/>
          <w:sz w:val="28"/>
          <w:szCs w:val="28"/>
          <w:shd w:val="clear" w:color="auto" w:fill="FFFFFF"/>
        </w:rPr>
      </w:pPr>
      <w:r w:rsidRPr="00DF67B2">
        <w:rPr>
          <w:noProof/>
          <w:color w:val="000000" w:themeColor="text1"/>
          <w:sz w:val="28"/>
          <w:szCs w:val="28"/>
          <w:lang w:bidi="hi-IN"/>
        </w:rPr>
        <w:t xml:space="preserve">       </w:t>
      </w:r>
      <w:r>
        <w:rPr>
          <w:noProof/>
          <w:color w:val="000000" w:themeColor="text1"/>
          <w:sz w:val="28"/>
          <w:szCs w:val="28"/>
          <w:lang w:bidi="hi-IN"/>
        </w:rPr>
        <w:tab/>
      </w:r>
      <w:r>
        <w:rPr>
          <w:noProof/>
          <w:color w:val="000000" w:themeColor="text1"/>
          <w:sz w:val="28"/>
          <w:szCs w:val="28"/>
          <w:lang w:bidi="hi-IN"/>
        </w:rPr>
        <w:tab/>
      </w:r>
      <w:r>
        <w:rPr>
          <w:noProof/>
          <w:color w:val="000000" w:themeColor="text1"/>
          <w:sz w:val="28"/>
          <w:szCs w:val="28"/>
          <w:lang w:bidi="hi-IN"/>
        </w:rPr>
        <w:tab/>
      </w:r>
      <w:r>
        <w:rPr>
          <w:noProof/>
          <w:color w:val="000000" w:themeColor="text1"/>
          <w:sz w:val="28"/>
          <w:szCs w:val="28"/>
          <w:lang w:bidi="hi-IN"/>
        </w:rPr>
        <w:tab/>
      </w:r>
      <w:r>
        <w:rPr>
          <w:noProof/>
          <w:color w:val="000000" w:themeColor="text1"/>
          <w:sz w:val="28"/>
          <w:szCs w:val="28"/>
          <w:lang w:bidi="hi-IN"/>
        </w:rPr>
        <w:tab/>
      </w:r>
      <w:r>
        <w:rPr>
          <w:noProof/>
          <w:color w:val="000000" w:themeColor="text1"/>
          <w:sz w:val="28"/>
          <w:szCs w:val="28"/>
          <w:lang w:bidi="hi-IN"/>
        </w:rPr>
        <w:tab/>
      </w:r>
      <w:r w:rsidRPr="00DF67B2">
        <w:rPr>
          <w:b/>
          <w:bCs/>
          <w:noProof/>
          <w:color w:val="000000" w:themeColor="text1"/>
          <w:sz w:val="28"/>
          <w:szCs w:val="28"/>
          <w:lang w:bidi="hi-IN"/>
        </w:rPr>
        <w:t>Abhinav</w:t>
      </w:r>
    </w:p>
    <w:p w:rsidR="00DF67B2" w:rsidRPr="00DF67B2" w:rsidRDefault="00DF67B2" w:rsidP="00DF67B2">
      <w:pPr>
        <w:pStyle w:val="Subtitle"/>
        <w:rPr>
          <w:rFonts w:eastAsia="Times New Roman"/>
          <w:color w:val="000000" w:themeColor="text1"/>
          <w:sz w:val="24"/>
          <w:szCs w:val="24"/>
        </w:rPr>
      </w:pPr>
      <w:r w:rsidRPr="00DF67B2">
        <w:rPr>
          <w:rFonts w:eastAsia="Times New Roman" w:cs="Arial"/>
          <w:b/>
          <w:bCs/>
          <w:color w:val="000000" w:themeColor="text1"/>
          <w:sz w:val="24"/>
          <w:szCs w:val="24"/>
          <w:shd w:val="clear" w:color="auto" w:fill="FFFFFF"/>
        </w:rPr>
        <w:t>Expertise:</w:t>
      </w:r>
      <w:r w:rsidRPr="00DF67B2">
        <w:rPr>
          <w:rFonts w:eastAsia="Times New Roman" w:cs="Arial"/>
          <w:color w:val="000000" w:themeColor="text1"/>
          <w:sz w:val="24"/>
          <w:szCs w:val="24"/>
          <w:shd w:val="clear" w:color="auto" w:fill="FFFFFF"/>
        </w:rPr>
        <w:t xml:space="preserve"> Indirect Tax Litigation, Commercial Litigation</w:t>
      </w:r>
    </w:p>
    <w:p w:rsidR="00DF67B2" w:rsidRPr="00DF67B2" w:rsidRDefault="00DF67B2" w:rsidP="00DF67B2">
      <w:pPr>
        <w:pStyle w:val="Subtitle"/>
        <w:spacing w:after="0"/>
        <w:rPr>
          <w:rFonts w:eastAsia="Times New Roman" w:cs="Arial"/>
          <w:b/>
          <w:bCs/>
          <w:color w:val="000000" w:themeColor="text1"/>
          <w:sz w:val="24"/>
          <w:szCs w:val="24"/>
        </w:rPr>
      </w:pPr>
      <w:r w:rsidRPr="00DF67B2">
        <w:rPr>
          <w:rFonts w:eastAsia="Times New Roman" w:cs="Arial"/>
          <w:b/>
          <w:bCs/>
          <w:color w:val="000000" w:themeColor="text1"/>
          <w:sz w:val="24"/>
          <w:szCs w:val="24"/>
        </w:rPr>
        <w:t>Education:</w:t>
      </w:r>
    </w:p>
    <w:p w:rsidR="00DF67B2" w:rsidRPr="00DF67B2" w:rsidRDefault="00DF67B2" w:rsidP="00DF67B2">
      <w:pPr>
        <w:pStyle w:val="Subtitle"/>
        <w:spacing w:after="0"/>
        <w:rPr>
          <w:rFonts w:eastAsia="Times New Roman" w:cs="Arial"/>
          <w:color w:val="000000" w:themeColor="text1"/>
          <w:sz w:val="24"/>
          <w:szCs w:val="24"/>
        </w:rPr>
      </w:pPr>
      <w:r w:rsidRPr="00DF67B2">
        <w:rPr>
          <w:rFonts w:eastAsia="Times New Roman" w:cs="Arial"/>
          <w:color w:val="000000" w:themeColor="text1"/>
          <w:sz w:val="24"/>
          <w:szCs w:val="24"/>
        </w:rPr>
        <w:t>LL.B. Campus Law Centre, University of Delhi</w:t>
      </w:r>
    </w:p>
    <w:p w:rsidR="00DF67B2" w:rsidRDefault="00DF67B2" w:rsidP="00DF67B2">
      <w:pPr>
        <w:pStyle w:val="Subtitle"/>
        <w:spacing w:after="0"/>
        <w:rPr>
          <w:rFonts w:eastAsia="Times New Roman" w:cs="Arial"/>
          <w:b/>
          <w:bCs/>
          <w:color w:val="000000" w:themeColor="text1"/>
          <w:sz w:val="24"/>
          <w:szCs w:val="24"/>
        </w:rPr>
      </w:pPr>
    </w:p>
    <w:p w:rsidR="00DF67B2" w:rsidRPr="00DF67B2" w:rsidRDefault="00DF67B2" w:rsidP="00DF67B2">
      <w:pPr>
        <w:pStyle w:val="Subtitle"/>
        <w:spacing w:after="0"/>
        <w:rPr>
          <w:rFonts w:eastAsia="Times New Roman" w:cs="Arial"/>
          <w:b/>
          <w:bCs/>
          <w:color w:val="000000" w:themeColor="text1"/>
          <w:sz w:val="24"/>
          <w:szCs w:val="24"/>
        </w:rPr>
      </w:pPr>
      <w:r w:rsidRPr="00DF67B2">
        <w:rPr>
          <w:rFonts w:eastAsia="Times New Roman" w:cs="Arial"/>
          <w:b/>
          <w:bCs/>
          <w:color w:val="000000" w:themeColor="text1"/>
          <w:sz w:val="24"/>
          <w:szCs w:val="24"/>
        </w:rPr>
        <w:t>Memberships:</w:t>
      </w:r>
    </w:p>
    <w:p w:rsidR="00DF67B2" w:rsidRPr="00DF67B2" w:rsidRDefault="00DF67B2" w:rsidP="00DF67B2">
      <w:pPr>
        <w:pStyle w:val="Subtitle"/>
        <w:spacing w:after="0"/>
        <w:rPr>
          <w:rFonts w:eastAsia="Times New Roman" w:cs="Arial"/>
          <w:color w:val="000000" w:themeColor="text1"/>
          <w:sz w:val="24"/>
          <w:szCs w:val="24"/>
        </w:rPr>
      </w:pPr>
      <w:r w:rsidRPr="00DF67B2">
        <w:rPr>
          <w:rFonts w:eastAsia="Times New Roman" w:cs="Arial"/>
          <w:color w:val="000000" w:themeColor="text1"/>
          <w:sz w:val="24"/>
          <w:szCs w:val="24"/>
        </w:rPr>
        <w:t>Bar Council of Delhi</w:t>
      </w:r>
    </w:p>
    <w:p w:rsidR="00DF67B2" w:rsidRPr="00DF67B2" w:rsidRDefault="00DF67B2" w:rsidP="00DF67B2">
      <w:pPr>
        <w:pStyle w:val="Subtitle"/>
        <w:spacing w:after="0"/>
        <w:rPr>
          <w:rFonts w:eastAsia="Times New Roman" w:cs="Arial"/>
          <w:color w:val="000000" w:themeColor="text1"/>
          <w:sz w:val="24"/>
          <w:szCs w:val="24"/>
        </w:rPr>
      </w:pPr>
      <w:r w:rsidRPr="00DF67B2">
        <w:rPr>
          <w:rFonts w:eastAsia="Times New Roman" w:cs="Arial"/>
          <w:color w:val="000000" w:themeColor="text1"/>
          <w:sz w:val="24"/>
          <w:szCs w:val="24"/>
        </w:rPr>
        <w:t>Delhi High Court Bar Association </w:t>
      </w:r>
    </w:p>
    <w:p w:rsidR="00DF67B2" w:rsidRPr="00DF67B2" w:rsidRDefault="00DF67B2" w:rsidP="00DF67B2">
      <w:pPr>
        <w:pStyle w:val="Subtitle"/>
        <w:spacing w:after="0"/>
        <w:rPr>
          <w:rFonts w:eastAsia="Times New Roman" w:cs="Arial"/>
          <w:color w:val="000000" w:themeColor="text1"/>
          <w:sz w:val="24"/>
          <w:szCs w:val="24"/>
        </w:rPr>
      </w:pPr>
      <w:r w:rsidRPr="00DF67B2">
        <w:rPr>
          <w:rFonts w:eastAsia="Times New Roman" w:cs="Arial"/>
          <w:color w:val="000000" w:themeColor="text1"/>
          <w:sz w:val="24"/>
          <w:szCs w:val="24"/>
        </w:rPr>
        <w:t>Excise, Customs and Gold Control Bar Association, New Delhi</w:t>
      </w:r>
    </w:p>
    <w:p w:rsidR="00DF67B2" w:rsidRDefault="00DF67B2" w:rsidP="00DF67B2">
      <w:pPr>
        <w:pStyle w:val="Subtitle"/>
        <w:rPr>
          <w:b/>
          <w:bCs/>
          <w:color w:val="000000" w:themeColor="text1"/>
          <w:sz w:val="28"/>
          <w:szCs w:val="28"/>
        </w:rPr>
      </w:pPr>
    </w:p>
    <w:p w:rsidR="00DF67B2" w:rsidRPr="00DF67B2" w:rsidRDefault="00DF67B2" w:rsidP="00DF67B2">
      <w:pPr>
        <w:pStyle w:val="Subtitle"/>
        <w:rPr>
          <w:b/>
          <w:bCs/>
          <w:color w:val="000000" w:themeColor="text1"/>
          <w:sz w:val="28"/>
          <w:szCs w:val="28"/>
        </w:rPr>
      </w:pPr>
      <w:r w:rsidRPr="00DF67B2">
        <w:rPr>
          <w:b/>
          <w:bCs/>
          <w:color w:val="000000" w:themeColor="text1"/>
          <w:sz w:val="28"/>
          <w:szCs w:val="28"/>
        </w:rPr>
        <w:t xml:space="preserve">About </w:t>
      </w:r>
      <w:proofErr w:type="spellStart"/>
      <w:r w:rsidRPr="00DF67B2">
        <w:rPr>
          <w:b/>
          <w:bCs/>
          <w:color w:val="000000" w:themeColor="text1"/>
          <w:sz w:val="28"/>
          <w:szCs w:val="28"/>
        </w:rPr>
        <w:t>Abhinav</w:t>
      </w:r>
      <w:proofErr w:type="spellEnd"/>
    </w:p>
    <w:p w:rsidR="00DF67B2" w:rsidRPr="00DF67B2" w:rsidRDefault="00DF67B2" w:rsidP="00DF67B2">
      <w:pPr>
        <w:pStyle w:val="Subtitle"/>
        <w:rPr>
          <w:color w:val="000000" w:themeColor="text1"/>
        </w:rPr>
      </w:pPr>
      <w:proofErr w:type="spellStart"/>
      <w:r w:rsidRPr="00DF67B2">
        <w:rPr>
          <w:color w:val="000000" w:themeColor="text1"/>
        </w:rPr>
        <w:t>Abhinav</w:t>
      </w:r>
      <w:proofErr w:type="spellEnd"/>
      <w:r w:rsidRPr="00DF67B2">
        <w:rPr>
          <w:color w:val="000000" w:themeColor="text1"/>
        </w:rPr>
        <w:t xml:space="preserve"> </w:t>
      </w:r>
      <w:proofErr w:type="spellStart"/>
      <w:r w:rsidRPr="00DF67B2">
        <w:rPr>
          <w:color w:val="000000" w:themeColor="text1"/>
        </w:rPr>
        <w:t>Jaganathan</w:t>
      </w:r>
      <w:proofErr w:type="spellEnd"/>
      <w:r w:rsidRPr="00DF67B2">
        <w:rPr>
          <w:color w:val="000000" w:themeColor="text1"/>
        </w:rPr>
        <w:t xml:space="preserve"> is a qualified lawyer in India, having extensive experience in indirect taxation, with a special focus in Customs law and Foreign Trade Policy. He has advised clients in the energy, automotive, aviation and software sectors on tax investigations and specializes in litigation arising out of indirect tax disputes. </w:t>
      </w:r>
      <w:proofErr w:type="spellStart"/>
      <w:r w:rsidRPr="00DF67B2">
        <w:rPr>
          <w:color w:val="000000" w:themeColor="text1"/>
        </w:rPr>
        <w:t>Abhinav</w:t>
      </w:r>
      <w:proofErr w:type="spellEnd"/>
      <w:r w:rsidRPr="00DF67B2">
        <w:rPr>
          <w:color w:val="000000" w:themeColor="text1"/>
        </w:rPr>
        <w:t xml:space="preserve"> also has significant experience in the areas of arbitration, intellectual property rights, drug pricing, </w:t>
      </w:r>
      <w:proofErr w:type="gramStart"/>
      <w:r w:rsidRPr="00DF67B2">
        <w:rPr>
          <w:color w:val="000000" w:themeColor="text1"/>
        </w:rPr>
        <w:t>insolvency</w:t>
      </w:r>
      <w:proofErr w:type="gramEnd"/>
      <w:r w:rsidRPr="00DF67B2">
        <w:rPr>
          <w:color w:val="000000" w:themeColor="text1"/>
        </w:rPr>
        <w:t xml:space="preserve"> and bankruptcy laws.</w:t>
      </w:r>
    </w:p>
    <w:p w:rsidR="00A204CA" w:rsidRPr="00DF67B2" w:rsidRDefault="00DF67B2" w:rsidP="00DF67B2">
      <w:pPr>
        <w:pStyle w:val="Subtitle"/>
        <w:rPr>
          <w:color w:val="000000" w:themeColor="text1"/>
        </w:rPr>
      </w:pPr>
      <w:proofErr w:type="spellStart"/>
      <w:r w:rsidRPr="00DF67B2">
        <w:rPr>
          <w:color w:val="000000" w:themeColor="text1"/>
        </w:rPr>
        <w:t>Abhinav</w:t>
      </w:r>
      <w:proofErr w:type="spellEnd"/>
      <w:r w:rsidRPr="00DF67B2">
        <w:rPr>
          <w:color w:val="000000" w:themeColor="text1"/>
        </w:rPr>
        <w:t xml:space="preserve"> regularly appears before the Supreme Court of India, the High Court of Delhi, the National Company Law Appellate Tribunal (NCLAT), Customs, Excise</w:t>
      </w:r>
      <w:r w:rsidRPr="00DF67B2">
        <w:rPr>
          <w:color w:val="000000" w:themeColor="text1"/>
          <w:spacing w:val="-13"/>
        </w:rPr>
        <w:t> </w:t>
      </w:r>
      <w:r w:rsidRPr="00DF67B2">
        <w:rPr>
          <w:color w:val="000000" w:themeColor="text1"/>
        </w:rPr>
        <w:t>and</w:t>
      </w:r>
      <w:r w:rsidRPr="00DF67B2">
        <w:rPr>
          <w:color w:val="000000" w:themeColor="text1"/>
          <w:spacing w:val="-11"/>
        </w:rPr>
        <w:t> </w:t>
      </w:r>
      <w:r w:rsidRPr="00DF67B2">
        <w:rPr>
          <w:color w:val="000000" w:themeColor="text1"/>
        </w:rPr>
        <w:t>Service</w:t>
      </w:r>
      <w:r w:rsidRPr="00DF67B2">
        <w:rPr>
          <w:color w:val="000000" w:themeColor="text1"/>
          <w:spacing w:val="-12"/>
        </w:rPr>
        <w:t> </w:t>
      </w:r>
      <w:r w:rsidRPr="00DF67B2">
        <w:rPr>
          <w:color w:val="000000" w:themeColor="text1"/>
        </w:rPr>
        <w:t>Tax</w:t>
      </w:r>
      <w:r w:rsidRPr="00DF67B2">
        <w:rPr>
          <w:color w:val="000000" w:themeColor="text1"/>
          <w:spacing w:val="-13"/>
        </w:rPr>
        <w:t> </w:t>
      </w:r>
      <w:r w:rsidRPr="00DF67B2">
        <w:rPr>
          <w:color w:val="000000" w:themeColor="text1"/>
        </w:rPr>
        <w:t>Appellate</w:t>
      </w:r>
      <w:r w:rsidRPr="00DF67B2">
        <w:rPr>
          <w:color w:val="000000" w:themeColor="text1"/>
          <w:spacing w:val="-13"/>
        </w:rPr>
        <w:t> </w:t>
      </w:r>
      <w:r w:rsidRPr="00DF67B2">
        <w:rPr>
          <w:color w:val="000000" w:themeColor="text1"/>
        </w:rPr>
        <w:t>Tribunal</w:t>
      </w:r>
      <w:r w:rsidRPr="00DF67B2">
        <w:rPr>
          <w:color w:val="000000" w:themeColor="text1"/>
          <w:spacing w:val="-6"/>
        </w:rPr>
        <w:t> </w:t>
      </w:r>
      <w:r w:rsidRPr="00DF67B2">
        <w:rPr>
          <w:color w:val="000000" w:themeColor="text1"/>
        </w:rPr>
        <w:t>(CESTAT),</w:t>
      </w:r>
      <w:r w:rsidRPr="00DF67B2">
        <w:rPr>
          <w:color w:val="000000" w:themeColor="text1"/>
          <w:spacing w:val="-11"/>
        </w:rPr>
        <w:t> </w:t>
      </w:r>
      <w:r w:rsidRPr="00DF67B2">
        <w:rPr>
          <w:color w:val="000000" w:themeColor="text1"/>
        </w:rPr>
        <w:t>several</w:t>
      </w:r>
      <w:r w:rsidRPr="00DF67B2">
        <w:rPr>
          <w:color w:val="000000" w:themeColor="text1"/>
          <w:spacing w:val="-13"/>
        </w:rPr>
        <w:t> </w:t>
      </w:r>
      <w:r w:rsidRPr="00DF67B2">
        <w:rPr>
          <w:color w:val="000000" w:themeColor="text1"/>
        </w:rPr>
        <w:t xml:space="preserve">Customs/Excise </w:t>
      </w:r>
      <w:bookmarkStart w:id="0" w:name="_GoBack"/>
      <w:bookmarkEnd w:id="0"/>
      <w:proofErr w:type="spellStart"/>
      <w:r w:rsidRPr="00DF67B2">
        <w:rPr>
          <w:color w:val="000000" w:themeColor="text1"/>
        </w:rPr>
        <w:t>Commissionerates</w:t>
      </w:r>
      <w:proofErr w:type="spellEnd"/>
      <w:r w:rsidRPr="00DF67B2">
        <w:rPr>
          <w:color w:val="000000" w:themeColor="text1"/>
        </w:rPr>
        <w:t>, the Directorate General of Foreign Trade (DGFT), the Authority for Advance</w:t>
      </w:r>
      <w:r w:rsidRPr="00DF67B2">
        <w:rPr>
          <w:color w:val="000000" w:themeColor="text1"/>
          <w:spacing w:val="-9"/>
        </w:rPr>
        <w:t> </w:t>
      </w:r>
      <w:r w:rsidRPr="00DF67B2">
        <w:rPr>
          <w:color w:val="000000" w:themeColor="text1"/>
        </w:rPr>
        <w:t>Rulings</w:t>
      </w:r>
      <w:r w:rsidRPr="00DF67B2">
        <w:rPr>
          <w:color w:val="000000" w:themeColor="text1"/>
          <w:spacing w:val="-7"/>
        </w:rPr>
        <w:t> </w:t>
      </w:r>
      <w:r w:rsidRPr="00DF67B2">
        <w:rPr>
          <w:color w:val="000000" w:themeColor="text1"/>
        </w:rPr>
        <w:t>(AAR)</w:t>
      </w:r>
      <w:r w:rsidRPr="00DF67B2">
        <w:rPr>
          <w:color w:val="000000" w:themeColor="text1"/>
          <w:spacing w:val="-7"/>
        </w:rPr>
        <w:t> </w:t>
      </w:r>
      <w:r w:rsidRPr="00DF67B2">
        <w:rPr>
          <w:color w:val="000000" w:themeColor="text1"/>
        </w:rPr>
        <w:t>and</w:t>
      </w:r>
      <w:r w:rsidRPr="00DF67B2">
        <w:rPr>
          <w:color w:val="000000" w:themeColor="text1"/>
          <w:spacing w:val="-7"/>
        </w:rPr>
        <w:t> </w:t>
      </w:r>
      <w:r w:rsidRPr="00DF67B2">
        <w:rPr>
          <w:color w:val="000000" w:themeColor="text1"/>
        </w:rPr>
        <w:t>the</w:t>
      </w:r>
      <w:r w:rsidRPr="00DF67B2">
        <w:rPr>
          <w:color w:val="000000" w:themeColor="text1"/>
          <w:spacing w:val="-6"/>
        </w:rPr>
        <w:t> </w:t>
      </w:r>
      <w:r w:rsidRPr="00DF67B2">
        <w:rPr>
          <w:color w:val="000000" w:themeColor="text1"/>
        </w:rPr>
        <w:t>Settlement</w:t>
      </w:r>
      <w:r w:rsidRPr="00DF67B2">
        <w:rPr>
          <w:color w:val="000000" w:themeColor="text1"/>
          <w:spacing w:val="-7"/>
        </w:rPr>
        <w:t> </w:t>
      </w:r>
      <w:r>
        <w:rPr>
          <w:color w:val="000000" w:themeColor="text1"/>
        </w:rPr>
        <w:t>Commission.</w:t>
      </w:r>
    </w:p>
    <w:sectPr w:rsidR="00A204CA" w:rsidRPr="00DF67B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0DB" w:rsidRDefault="00F000DB" w:rsidP="00DF67B2">
      <w:pPr>
        <w:spacing w:line="240" w:lineRule="auto"/>
      </w:pPr>
      <w:r>
        <w:separator/>
      </w:r>
    </w:p>
  </w:endnote>
  <w:endnote w:type="continuationSeparator" w:id="0">
    <w:p w:rsidR="00F000DB" w:rsidRDefault="00F000DB" w:rsidP="00DF67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ヒラギノ角ゴ Pro W3">
    <w:altName w:val="Arial Unicode MS"/>
    <w:charset w:val="80"/>
    <w:family w:val="auto"/>
    <w:pitch w:val="variable"/>
    <w:sig w:usb0="00000000" w:usb1="7AC7FFFF" w:usb2="00000012" w:usb3="00000000" w:csb0="0002000D"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DF67B2">
      <w:trPr>
        <w:trHeight w:hRule="exact" w:val="115"/>
        <w:jc w:val="center"/>
      </w:trPr>
      <w:tc>
        <w:tcPr>
          <w:tcW w:w="4686" w:type="dxa"/>
          <w:shd w:val="clear" w:color="auto" w:fill="5B9BD5" w:themeFill="accent1"/>
          <w:tcMar>
            <w:top w:w="0" w:type="dxa"/>
            <w:bottom w:w="0" w:type="dxa"/>
          </w:tcMar>
        </w:tcPr>
        <w:p w:rsidR="00DF67B2" w:rsidRDefault="00DF67B2">
          <w:pPr>
            <w:pStyle w:val="Header"/>
            <w:tabs>
              <w:tab w:val="clear" w:pos="4680"/>
              <w:tab w:val="clear" w:pos="9360"/>
            </w:tabs>
            <w:rPr>
              <w:caps/>
              <w:sz w:val="18"/>
            </w:rPr>
          </w:pPr>
        </w:p>
      </w:tc>
      <w:tc>
        <w:tcPr>
          <w:tcW w:w="4674" w:type="dxa"/>
          <w:shd w:val="clear" w:color="auto" w:fill="5B9BD5" w:themeFill="accent1"/>
          <w:tcMar>
            <w:top w:w="0" w:type="dxa"/>
            <w:bottom w:w="0" w:type="dxa"/>
          </w:tcMar>
        </w:tcPr>
        <w:p w:rsidR="00DF67B2" w:rsidRDefault="00DF67B2">
          <w:pPr>
            <w:pStyle w:val="Header"/>
            <w:tabs>
              <w:tab w:val="clear" w:pos="4680"/>
              <w:tab w:val="clear" w:pos="9360"/>
            </w:tabs>
            <w:jc w:val="right"/>
            <w:rPr>
              <w:caps/>
              <w:sz w:val="18"/>
            </w:rPr>
          </w:pPr>
        </w:p>
      </w:tc>
    </w:tr>
    <w:tr w:rsidR="00DF67B2">
      <w:trPr>
        <w:jc w:val="center"/>
      </w:trPr>
      <w:tc>
        <w:tcPr>
          <w:tcW w:w="4686" w:type="dxa"/>
          <w:shd w:val="clear" w:color="auto" w:fill="auto"/>
          <w:vAlign w:val="center"/>
        </w:tcPr>
        <w:p w:rsidR="00DF67B2" w:rsidRDefault="00DF67B2">
          <w:pPr>
            <w:pStyle w:val="Footer"/>
            <w:tabs>
              <w:tab w:val="clear" w:pos="4680"/>
              <w:tab w:val="clear" w:pos="9360"/>
            </w:tabs>
            <w:rPr>
              <w:caps/>
              <w:color w:val="808080" w:themeColor="background1" w:themeShade="80"/>
              <w:sz w:val="18"/>
              <w:szCs w:val="18"/>
            </w:rPr>
          </w:pPr>
        </w:p>
      </w:tc>
      <w:tc>
        <w:tcPr>
          <w:tcW w:w="4674" w:type="dxa"/>
          <w:shd w:val="clear" w:color="auto" w:fill="auto"/>
          <w:vAlign w:val="center"/>
        </w:tcPr>
        <w:p w:rsidR="00DF67B2" w:rsidRDefault="00DF67B2">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1</w:t>
          </w:r>
          <w:r>
            <w:rPr>
              <w:caps/>
              <w:noProof/>
              <w:color w:val="808080" w:themeColor="background1" w:themeShade="80"/>
              <w:sz w:val="18"/>
              <w:szCs w:val="18"/>
            </w:rPr>
            <w:fldChar w:fldCharType="end"/>
          </w:r>
        </w:p>
      </w:tc>
    </w:tr>
  </w:tbl>
  <w:p w:rsidR="00DF67B2" w:rsidRDefault="00DF67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0DB" w:rsidRDefault="00F000DB" w:rsidP="00DF67B2">
      <w:pPr>
        <w:spacing w:line="240" w:lineRule="auto"/>
      </w:pPr>
      <w:r>
        <w:separator/>
      </w:r>
    </w:p>
  </w:footnote>
  <w:footnote w:type="continuationSeparator" w:id="0">
    <w:p w:rsidR="00F000DB" w:rsidRDefault="00F000DB" w:rsidP="00DF67B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7B2" w:rsidRDefault="00DF67B2">
    <w:pPr>
      <w:pStyle w:val="Header"/>
    </w:pPr>
    <w:r>
      <w:rPr>
        <w:caps/>
        <w:noProof/>
        <w:color w:val="808080" w:themeColor="background1" w:themeShade="80"/>
        <w:szCs w:val="20"/>
        <w:lang w:bidi="hi-IN"/>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67B2" w:rsidRDefault="00DF67B2">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DF67B2" w:rsidRDefault="00DF67B2">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7B2"/>
    <w:rsid w:val="00575772"/>
    <w:rsid w:val="00A204CA"/>
    <w:rsid w:val="00DF67B2"/>
    <w:rsid w:val="00F000DB"/>
    <w:rsid w:val="00FA748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89041-E151-451C-8E12-0307E479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7B2"/>
    <w:pPr>
      <w:spacing w:after="0" w:line="276" w:lineRule="auto"/>
    </w:pPr>
    <w:rPr>
      <w:rFonts w:ascii="Century Schoolbook" w:eastAsia="ヒラギノ角ゴ Pro W3" w:hAnsi="Century Schoolbook" w:cs="Times New Roman"/>
      <w:color w:val="404040"/>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67B2"/>
    <w:rPr>
      <w:rFonts w:ascii="Times New Roman" w:hAnsi="Times New Roman"/>
      <w:sz w:val="24"/>
      <w:szCs w:val="24"/>
    </w:rPr>
  </w:style>
  <w:style w:type="paragraph" w:styleId="Subtitle">
    <w:name w:val="Subtitle"/>
    <w:basedOn w:val="Normal"/>
    <w:next w:val="Normal"/>
    <w:link w:val="SubtitleChar"/>
    <w:uiPriority w:val="11"/>
    <w:qFormat/>
    <w:rsid w:val="00DF67B2"/>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DF67B2"/>
    <w:rPr>
      <w:rFonts w:eastAsiaTheme="minorEastAsia"/>
      <w:color w:val="5A5A5A" w:themeColor="text1" w:themeTint="A5"/>
      <w:spacing w:val="15"/>
    </w:rPr>
  </w:style>
  <w:style w:type="paragraph" w:styleId="Header">
    <w:name w:val="header"/>
    <w:basedOn w:val="Normal"/>
    <w:link w:val="HeaderChar"/>
    <w:uiPriority w:val="99"/>
    <w:unhideWhenUsed/>
    <w:rsid w:val="00DF67B2"/>
    <w:pPr>
      <w:tabs>
        <w:tab w:val="center" w:pos="4680"/>
        <w:tab w:val="right" w:pos="9360"/>
      </w:tabs>
      <w:spacing w:line="240" w:lineRule="auto"/>
    </w:pPr>
  </w:style>
  <w:style w:type="character" w:customStyle="1" w:styleId="HeaderChar">
    <w:name w:val="Header Char"/>
    <w:basedOn w:val="DefaultParagraphFont"/>
    <w:link w:val="Header"/>
    <w:uiPriority w:val="99"/>
    <w:rsid w:val="00DF67B2"/>
    <w:rPr>
      <w:rFonts w:ascii="Century Schoolbook" w:eastAsia="ヒラギノ角ゴ Pro W3" w:hAnsi="Century Schoolbook" w:cs="Times New Roman"/>
      <w:color w:val="404040"/>
      <w:spacing w:val="40"/>
      <w:sz w:val="20"/>
    </w:rPr>
  </w:style>
  <w:style w:type="paragraph" w:styleId="Footer">
    <w:name w:val="footer"/>
    <w:basedOn w:val="Normal"/>
    <w:link w:val="FooterChar"/>
    <w:uiPriority w:val="99"/>
    <w:unhideWhenUsed/>
    <w:rsid w:val="00DF67B2"/>
    <w:pPr>
      <w:tabs>
        <w:tab w:val="center" w:pos="4680"/>
        <w:tab w:val="right" w:pos="9360"/>
      </w:tabs>
      <w:spacing w:line="240" w:lineRule="auto"/>
    </w:pPr>
  </w:style>
  <w:style w:type="character" w:customStyle="1" w:styleId="FooterChar">
    <w:name w:val="Footer Char"/>
    <w:basedOn w:val="DefaultParagraphFont"/>
    <w:link w:val="Footer"/>
    <w:uiPriority w:val="99"/>
    <w:rsid w:val="00DF67B2"/>
    <w:rPr>
      <w:rFonts w:ascii="Century Schoolbook" w:eastAsia="ヒラギノ角ゴ Pro W3" w:hAnsi="Century Schoolbook" w:cs="Times New Roman"/>
      <w:color w:val="404040"/>
      <w:spacing w:val="4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ANUATION_22</dc:creator>
  <cp:keywords/>
  <dc:description/>
  <cp:lastModifiedBy>ANUATION_22</cp:lastModifiedBy>
  <cp:revision>1</cp:revision>
  <dcterms:created xsi:type="dcterms:W3CDTF">2021-01-18T10:06:00Z</dcterms:created>
  <dcterms:modified xsi:type="dcterms:W3CDTF">2021-01-18T10:09:00Z</dcterms:modified>
</cp:coreProperties>
</file>