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3DE" w:rsidRPr="00CA63DE" w:rsidRDefault="00CA63DE" w:rsidP="00CA63DE">
      <w:pPr>
        <w:pStyle w:val="Subtitle"/>
        <w:ind w:firstLine="720"/>
        <w:rPr>
          <w:noProof/>
          <w:color w:val="000000" w:themeColor="text1"/>
          <w:sz w:val="32"/>
          <w:szCs w:val="32"/>
          <w:lang w:eastAsia="zh-CN"/>
        </w:rPr>
      </w:pPr>
      <w:r>
        <w:rPr>
          <w:noProof/>
          <w:color w:val="000000" w:themeColor="text1"/>
          <w:sz w:val="32"/>
          <w:szCs w:val="32"/>
          <w:lang w:eastAsia="zh-CN"/>
        </w:rPr>
        <w:t xml:space="preserve">      </w:t>
      </w:r>
      <w:r w:rsidRPr="00CA63DE">
        <w:rPr>
          <w:noProof/>
          <w:color w:val="000000" w:themeColor="text1"/>
          <w:lang w:bidi="hi-IN"/>
        </w:rPr>
        <w:drawing>
          <wp:inline distT="0" distB="0" distL="0" distR="0">
            <wp:extent cx="4505325" cy="3638550"/>
            <wp:effectExtent l="0" t="0" r="9525" b="0"/>
            <wp:docPr id="1" name="Picture 1" descr="C:\Users\Nishant\Desktop\AY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shant\Desktop\AY P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3DE" w:rsidRPr="00CA63DE" w:rsidRDefault="00CA63DE" w:rsidP="00CA63DE">
      <w:pPr>
        <w:pStyle w:val="Subtitle"/>
        <w:spacing w:after="0"/>
        <w:ind w:left="2880" w:firstLine="720"/>
        <w:rPr>
          <w:b/>
          <w:bCs/>
          <w:noProof/>
          <w:color w:val="000000" w:themeColor="text1"/>
          <w:sz w:val="28"/>
          <w:szCs w:val="28"/>
          <w:lang w:eastAsia="zh-CN"/>
        </w:rPr>
      </w:pPr>
      <w:r w:rsidRPr="00CA63DE">
        <w:rPr>
          <w:b/>
          <w:bCs/>
          <w:noProof/>
          <w:color w:val="000000" w:themeColor="text1"/>
          <w:sz w:val="28"/>
          <w:szCs w:val="28"/>
          <w:lang w:eastAsia="zh-CN"/>
        </w:rPr>
        <w:t>AJAY YADAV</w:t>
      </w:r>
    </w:p>
    <w:p w:rsidR="00CA63DE" w:rsidRPr="00CA63DE" w:rsidRDefault="00CA63DE" w:rsidP="00CA63DE">
      <w:pPr>
        <w:pStyle w:val="Subtitle"/>
        <w:spacing w:after="0"/>
        <w:ind w:left="2160"/>
        <w:rPr>
          <w:rFonts w:eastAsia="Calibri"/>
          <w:b/>
          <w:bCs/>
          <w:iCs/>
          <w:noProof/>
          <w:color w:val="000000" w:themeColor="text1"/>
          <w:sz w:val="28"/>
          <w:szCs w:val="28"/>
          <w:lang w:eastAsia="zh-CN"/>
        </w:rPr>
      </w:pPr>
      <w:r w:rsidRPr="00CA63DE">
        <w:rPr>
          <w:rFonts w:eastAsia="Calibri"/>
          <w:b/>
          <w:bCs/>
          <w:iCs/>
          <w:noProof/>
          <w:color w:val="000000" w:themeColor="text1"/>
          <w:sz w:val="28"/>
          <w:szCs w:val="28"/>
          <w:lang w:eastAsia="zh-CN"/>
        </w:rPr>
        <w:t xml:space="preserve">     </w:t>
      </w:r>
      <w:r w:rsidRPr="00CA63DE">
        <w:rPr>
          <w:rFonts w:eastAsia="Calibri"/>
          <w:b/>
          <w:bCs/>
          <w:iCs/>
          <w:noProof/>
          <w:color w:val="000000" w:themeColor="text1"/>
          <w:sz w:val="28"/>
          <w:szCs w:val="28"/>
          <w:lang w:eastAsia="zh-CN"/>
        </w:rPr>
        <w:t>Advocate &amp; Legal Consultant</w:t>
      </w:r>
    </w:p>
    <w:p w:rsidR="00CA63DE" w:rsidRPr="00CA63DE" w:rsidRDefault="00CA63DE" w:rsidP="00CA63DE">
      <w:pPr>
        <w:pStyle w:val="Subtitle"/>
        <w:spacing w:after="0"/>
        <w:ind w:left="2160"/>
        <w:rPr>
          <w:rFonts w:eastAsia="Calibri"/>
          <w:b/>
          <w:bCs/>
          <w:iCs/>
          <w:noProof/>
          <w:color w:val="000000" w:themeColor="text1"/>
          <w:sz w:val="28"/>
          <w:szCs w:val="28"/>
          <w:lang w:eastAsia="zh-CN"/>
        </w:rPr>
      </w:pPr>
      <w:r>
        <w:rPr>
          <w:rFonts w:eastAsia="Calibri"/>
          <w:iCs/>
          <w:noProof/>
          <w:color w:val="000000" w:themeColor="text1"/>
          <w:sz w:val="28"/>
          <w:szCs w:val="28"/>
          <w:lang w:eastAsia="zh-CN"/>
        </w:rPr>
        <w:t xml:space="preserve">               </w:t>
      </w:r>
      <w:r>
        <w:rPr>
          <w:rFonts w:eastAsia="Calibri"/>
          <w:iCs/>
          <w:noProof/>
          <w:color w:val="000000" w:themeColor="text1"/>
          <w:sz w:val="24"/>
          <w:szCs w:val="24"/>
          <w:lang w:eastAsia="zh-CN"/>
        </w:rPr>
        <w:t xml:space="preserve"> </w:t>
      </w:r>
      <w:r w:rsidRPr="00CA63DE">
        <w:rPr>
          <w:rFonts w:eastAsia="Calibri"/>
          <w:b/>
          <w:bCs/>
          <w:iCs/>
          <w:noProof/>
          <w:color w:val="000000" w:themeColor="text1"/>
          <w:sz w:val="24"/>
          <w:szCs w:val="24"/>
          <w:lang w:eastAsia="zh-CN"/>
        </w:rPr>
        <w:t>Cell-7503274242</w:t>
      </w:r>
    </w:p>
    <w:p w:rsidR="00CA63DE" w:rsidRPr="00CA63DE" w:rsidRDefault="00CA63DE" w:rsidP="00CA63DE">
      <w:pPr>
        <w:pStyle w:val="Subtitle"/>
        <w:rPr>
          <w:b/>
          <w:bCs/>
          <w:noProof/>
          <w:color w:val="000000" w:themeColor="text1"/>
          <w:sz w:val="24"/>
          <w:szCs w:val="24"/>
          <w:lang w:eastAsia="zh-CN"/>
        </w:rPr>
      </w:pPr>
    </w:p>
    <w:p w:rsidR="00CA63DE" w:rsidRPr="00CA63DE" w:rsidRDefault="00CA63DE" w:rsidP="00CA63DE">
      <w:pPr>
        <w:pStyle w:val="Subtitle"/>
        <w:rPr>
          <w:b/>
          <w:bCs/>
          <w:iCs/>
          <w:noProof/>
          <w:color w:val="000000" w:themeColor="text1"/>
          <w:sz w:val="28"/>
          <w:szCs w:val="28"/>
          <w:lang w:eastAsia="zh-CN"/>
        </w:rPr>
      </w:pPr>
      <w:r w:rsidRPr="00CA63DE">
        <w:rPr>
          <w:b/>
          <w:bCs/>
          <w:iCs/>
          <w:noProof/>
          <w:color w:val="000000" w:themeColor="text1"/>
          <w:sz w:val="28"/>
          <w:szCs w:val="28"/>
          <w:lang w:eastAsia="zh-CN"/>
        </w:rPr>
        <w:t>Professional Details</w:t>
      </w:r>
    </w:p>
    <w:p w:rsidR="00CA63DE" w:rsidRPr="00CA63DE" w:rsidRDefault="00CA63DE" w:rsidP="00CA63DE">
      <w:pPr>
        <w:pStyle w:val="Subtitle"/>
        <w:rPr>
          <w:noProof/>
          <w:color w:val="000000" w:themeColor="text1"/>
          <w:sz w:val="24"/>
          <w:szCs w:val="24"/>
          <w:lang w:eastAsia="zh-CN"/>
        </w:rPr>
      </w:pPr>
      <w:r w:rsidRPr="00CA63DE">
        <w:rPr>
          <w:b/>
          <w:bCs/>
          <w:noProof/>
          <w:color w:val="000000" w:themeColor="text1"/>
          <w:sz w:val="24"/>
          <w:szCs w:val="24"/>
          <w:lang w:eastAsia="zh-CN"/>
        </w:rPr>
        <w:t>PQE:</w:t>
      </w:r>
      <w:r w:rsidRPr="00CA63DE">
        <w:rPr>
          <w:noProof/>
          <w:color w:val="000000" w:themeColor="text1"/>
          <w:sz w:val="24"/>
          <w:szCs w:val="24"/>
          <w:lang w:eastAsia="zh-CN"/>
        </w:rPr>
        <w:t xml:space="preserve"> 19 Years (Corporate, Commercial Laws) Legal Head (Metenere Ltd.); Senior Legal Consultant (HCL Infosystems Ltd.); Principal Associate (LEXport), Consulting Editor (Lex Witness) </w:t>
      </w:r>
    </w:p>
    <w:p w:rsidR="00CA63DE" w:rsidRPr="00CA63DE" w:rsidRDefault="00CA63DE" w:rsidP="00CA63DE">
      <w:pPr>
        <w:pStyle w:val="Subtitle"/>
        <w:rPr>
          <w:noProof/>
          <w:color w:val="000000" w:themeColor="text1"/>
          <w:sz w:val="24"/>
          <w:szCs w:val="24"/>
          <w:lang w:eastAsia="zh-CN"/>
        </w:rPr>
      </w:pPr>
      <w:r w:rsidRPr="00CA63DE">
        <w:rPr>
          <w:b/>
          <w:bCs/>
          <w:noProof/>
          <w:color w:val="000000" w:themeColor="text1"/>
          <w:sz w:val="24"/>
          <w:szCs w:val="24"/>
          <w:lang w:eastAsia="zh-CN"/>
        </w:rPr>
        <w:t>Place of Practice:</w:t>
      </w:r>
      <w:r w:rsidRPr="00CA63DE">
        <w:rPr>
          <w:noProof/>
          <w:color w:val="000000" w:themeColor="text1"/>
          <w:sz w:val="24"/>
          <w:szCs w:val="24"/>
          <w:lang w:eastAsia="zh-CN"/>
        </w:rPr>
        <w:t xml:space="preserve"> Delhi;</w:t>
      </w:r>
    </w:p>
    <w:p w:rsidR="00CA63DE" w:rsidRPr="00CA63DE" w:rsidRDefault="00CA63DE" w:rsidP="00CA63DE">
      <w:pPr>
        <w:pStyle w:val="Subtitle"/>
        <w:rPr>
          <w:noProof/>
          <w:color w:val="000000" w:themeColor="text1"/>
          <w:sz w:val="24"/>
          <w:szCs w:val="24"/>
          <w:lang w:eastAsia="zh-CN"/>
        </w:rPr>
      </w:pPr>
      <w:r w:rsidRPr="00CA63DE">
        <w:rPr>
          <w:b/>
          <w:bCs/>
          <w:noProof/>
          <w:color w:val="000000" w:themeColor="text1"/>
          <w:sz w:val="24"/>
          <w:szCs w:val="24"/>
          <w:lang w:eastAsia="zh-CN"/>
        </w:rPr>
        <w:t>Bar Registration:</w:t>
      </w:r>
      <w:r w:rsidRPr="00CA63DE">
        <w:rPr>
          <w:noProof/>
          <w:color w:val="000000" w:themeColor="text1"/>
          <w:sz w:val="24"/>
          <w:szCs w:val="24"/>
          <w:lang w:eastAsia="zh-CN"/>
        </w:rPr>
        <w:t xml:space="preserve"> Bar Council of Punjab and Haryana (P/990/2001);</w:t>
      </w:r>
    </w:p>
    <w:p w:rsidR="00CA63DE" w:rsidRPr="00CA63DE" w:rsidRDefault="00CA63DE" w:rsidP="00CA63DE">
      <w:pPr>
        <w:pStyle w:val="Subtitle"/>
        <w:rPr>
          <w:noProof/>
          <w:color w:val="000000" w:themeColor="text1"/>
          <w:sz w:val="24"/>
          <w:szCs w:val="24"/>
          <w:lang w:eastAsia="zh-CN"/>
        </w:rPr>
      </w:pPr>
      <w:r w:rsidRPr="00CA63DE">
        <w:rPr>
          <w:noProof/>
          <w:color w:val="000000" w:themeColor="text1"/>
          <w:sz w:val="24"/>
          <w:szCs w:val="24"/>
          <w:lang w:eastAsia="zh-CN"/>
        </w:rPr>
        <w:t xml:space="preserve"> (Corporates and Law Firms);</w:t>
      </w:r>
    </w:p>
    <w:p w:rsidR="00CA63DE" w:rsidRPr="00CA63DE" w:rsidRDefault="00CA63DE" w:rsidP="00CA63DE">
      <w:pPr>
        <w:pStyle w:val="Subtitle"/>
        <w:rPr>
          <w:noProof/>
          <w:color w:val="000000" w:themeColor="text1"/>
          <w:sz w:val="24"/>
          <w:szCs w:val="24"/>
          <w:lang w:eastAsia="zh-CN"/>
        </w:rPr>
      </w:pPr>
      <w:r w:rsidRPr="00CA63DE">
        <w:rPr>
          <w:b/>
          <w:bCs/>
          <w:noProof/>
          <w:color w:val="000000" w:themeColor="text1"/>
          <w:sz w:val="24"/>
          <w:szCs w:val="24"/>
          <w:lang w:eastAsia="zh-CN"/>
        </w:rPr>
        <w:t>LL.B. (2001):</w:t>
      </w:r>
      <w:r w:rsidRPr="00CA63DE">
        <w:rPr>
          <w:noProof/>
          <w:color w:val="000000" w:themeColor="text1"/>
          <w:sz w:val="24"/>
          <w:szCs w:val="24"/>
          <w:lang w:eastAsia="zh-CN"/>
        </w:rPr>
        <w:t xml:space="preserve"> Department of Laws, Panjab University, Chandigarh;</w:t>
      </w:r>
    </w:p>
    <w:p w:rsidR="00CA63DE" w:rsidRPr="00CA63DE" w:rsidRDefault="00CA63DE" w:rsidP="00CA63DE">
      <w:pPr>
        <w:pStyle w:val="Subtitle"/>
        <w:rPr>
          <w:noProof/>
          <w:color w:val="000000" w:themeColor="text1"/>
          <w:sz w:val="24"/>
          <w:szCs w:val="24"/>
          <w:lang w:eastAsia="zh-CN"/>
        </w:rPr>
      </w:pPr>
    </w:p>
    <w:p w:rsidR="00CA63DE" w:rsidRDefault="00CA63DE" w:rsidP="00CA63DE">
      <w:pPr>
        <w:pStyle w:val="Subtitle"/>
        <w:rPr>
          <w:b/>
          <w:bCs/>
          <w:noProof/>
          <w:color w:val="000000" w:themeColor="text1"/>
          <w:sz w:val="28"/>
          <w:szCs w:val="28"/>
          <w:lang w:eastAsia="zh-CN"/>
        </w:rPr>
      </w:pPr>
    </w:p>
    <w:p w:rsidR="00CA63DE" w:rsidRDefault="00CA63DE" w:rsidP="00CA63DE">
      <w:pPr>
        <w:pStyle w:val="Subtitle"/>
        <w:rPr>
          <w:b/>
          <w:bCs/>
          <w:noProof/>
          <w:color w:val="000000" w:themeColor="text1"/>
          <w:sz w:val="28"/>
          <w:szCs w:val="28"/>
          <w:lang w:eastAsia="zh-CN"/>
        </w:rPr>
      </w:pPr>
    </w:p>
    <w:p w:rsidR="00CA63DE" w:rsidRDefault="00CA63DE" w:rsidP="00CA63DE">
      <w:pPr>
        <w:pStyle w:val="Subtitle"/>
        <w:rPr>
          <w:b/>
          <w:bCs/>
          <w:noProof/>
          <w:color w:val="000000" w:themeColor="text1"/>
          <w:sz w:val="28"/>
          <w:szCs w:val="28"/>
          <w:lang w:eastAsia="zh-CN"/>
        </w:rPr>
      </w:pPr>
    </w:p>
    <w:p w:rsidR="00CA63DE" w:rsidRPr="00CA63DE" w:rsidRDefault="00CA63DE" w:rsidP="00CA63DE">
      <w:pPr>
        <w:pStyle w:val="Subtitle"/>
        <w:rPr>
          <w:b/>
          <w:bCs/>
          <w:noProof/>
          <w:color w:val="000000" w:themeColor="text1"/>
          <w:sz w:val="28"/>
          <w:szCs w:val="28"/>
          <w:lang w:eastAsia="zh-CN"/>
        </w:rPr>
      </w:pPr>
      <w:r w:rsidRPr="00CA63DE">
        <w:rPr>
          <w:b/>
          <w:bCs/>
          <w:noProof/>
          <w:color w:val="000000" w:themeColor="text1"/>
          <w:sz w:val="28"/>
          <w:szCs w:val="28"/>
          <w:lang w:eastAsia="zh-CN"/>
        </w:rPr>
        <w:t>Practice Areas</w:t>
      </w:r>
    </w:p>
    <w:p w:rsidR="00CA63DE" w:rsidRPr="00CA63DE" w:rsidRDefault="00CA63DE" w:rsidP="00CA63DE">
      <w:pPr>
        <w:pStyle w:val="Subtitle"/>
        <w:rPr>
          <w:b/>
          <w:bCs/>
          <w:noProof/>
          <w:color w:val="000000" w:themeColor="text1"/>
          <w:sz w:val="24"/>
          <w:szCs w:val="24"/>
          <w:lang w:eastAsia="zh-CN"/>
        </w:rPr>
      </w:pPr>
      <w:r w:rsidRPr="00CA63DE">
        <w:rPr>
          <w:b/>
          <w:bCs/>
          <w:noProof/>
          <w:color w:val="000000" w:themeColor="text1"/>
          <w:sz w:val="24"/>
          <w:szCs w:val="24"/>
          <w:lang w:eastAsia="zh-CN"/>
        </w:rPr>
        <w:t>Corporate Advisory</w:t>
      </w:r>
    </w:p>
    <w:p w:rsidR="00CA63DE" w:rsidRPr="00CA63DE" w:rsidRDefault="00CA63DE" w:rsidP="00CA63DE">
      <w:pPr>
        <w:pStyle w:val="Subtitle"/>
        <w:rPr>
          <w:noProof/>
          <w:color w:val="000000" w:themeColor="text1"/>
          <w:sz w:val="24"/>
          <w:szCs w:val="24"/>
          <w:lang w:eastAsia="zh-CN"/>
        </w:rPr>
      </w:pPr>
      <w:r w:rsidRPr="00CA63DE">
        <w:rPr>
          <w:noProof/>
          <w:color w:val="000000" w:themeColor="text1"/>
          <w:sz w:val="24"/>
          <w:szCs w:val="24"/>
          <w:lang w:eastAsia="zh-CN"/>
        </w:rPr>
        <w:t>Drafting, vetting and negotiation of commercial contracts/ other documents for customers and vendors; Legal risk analysis of Tender Documents;Research based corporate/business advisory on day to day legal issues related to Companies Act, Labour Laws, Data Privacy  and Protection issues, Bank Guarantees, Blacklisting, Power of Attorney, Stamp Duty, Registration etc.;</w:t>
      </w:r>
    </w:p>
    <w:p w:rsidR="00CA63DE" w:rsidRPr="00CA63DE" w:rsidRDefault="00CA63DE" w:rsidP="00CA63DE">
      <w:pPr>
        <w:pStyle w:val="Subtitle"/>
        <w:rPr>
          <w:noProof/>
          <w:color w:val="000000" w:themeColor="text1"/>
          <w:sz w:val="24"/>
          <w:szCs w:val="24"/>
          <w:lang w:eastAsia="zh-CN"/>
        </w:rPr>
      </w:pPr>
      <w:r w:rsidRPr="00CA63DE">
        <w:rPr>
          <w:noProof/>
          <w:color w:val="000000" w:themeColor="text1"/>
          <w:sz w:val="24"/>
          <w:szCs w:val="24"/>
          <w:lang w:eastAsia="zh-CN"/>
        </w:rPr>
        <w:t>Pre- litigation analysis of contractual disputes;</w:t>
      </w:r>
    </w:p>
    <w:p w:rsidR="00CA63DE" w:rsidRPr="00CA63DE" w:rsidRDefault="00CA63DE" w:rsidP="00CA63DE">
      <w:pPr>
        <w:pStyle w:val="Subtitle"/>
        <w:rPr>
          <w:b/>
          <w:bCs/>
          <w:noProof/>
          <w:color w:val="000000" w:themeColor="text1"/>
          <w:sz w:val="24"/>
          <w:szCs w:val="24"/>
          <w:lang w:eastAsia="zh-CN"/>
        </w:rPr>
      </w:pPr>
      <w:r w:rsidRPr="00CA63DE">
        <w:rPr>
          <w:b/>
          <w:bCs/>
          <w:noProof/>
          <w:color w:val="000000" w:themeColor="text1"/>
          <w:sz w:val="24"/>
          <w:szCs w:val="24"/>
          <w:lang w:eastAsia="zh-CN"/>
        </w:rPr>
        <w:t>Litigation</w:t>
      </w:r>
    </w:p>
    <w:p w:rsidR="00CA63DE" w:rsidRPr="00CA63DE" w:rsidRDefault="00CA63DE" w:rsidP="00CA63DE">
      <w:pPr>
        <w:pStyle w:val="Subtitle"/>
        <w:rPr>
          <w:noProof/>
          <w:color w:val="000000" w:themeColor="text1"/>
          <w:sz w:val="24"/>
          <w:szCs w:val="24"/>
          <w:lang w:eastAsia="zh-CN"/>
        </w:rPr>
      </w:pPr>
      <w:r w:rsidRPr="00CA63DE">
        <w:rPr>
          <w:b/>
          <w:bCs/>
          <w:noProof/>
          <w:color w:val="000000" w:themeColor="text1"/>
          <w:sz w:val="24"/>
          <w:szCs w:val="24"/>
          <w:lang w:eastAsia="zh-CN"/>
        </w:rPr>
        <w:t>DRT, NCLT:</w:t>
      </w:r>
      <w:r w:rsidRPr="00CA63DE">
        <w:rPr>
          <w:noProof/>
          <w:color w:val="000000" w:themeColor="text1"/>
          <w:sz w:val="24"/>
          <w:szCs w:val="24"/>
          <w:lang w:eastAsia="zh-CN"/>
        </w:rPr>
        <w:t xml:space="preserve"> Recovery of Dues through corporate insolvency resolution process under IBC as a financial creditor and operational creditor at Delhi, Mumbai and  Kolkata NCLT Benches; Enforcement of Security Interest proceedings under SARFAESI;</w:t>
      </w:r>
    </w:p>
    <w:p w:rsidR="00CA63DE" w:rsidRPr="00CA63DE" w:rsidRDefault="00CA63DE" w:rsidP="00CA63DE">
      <w:pPr>
        <w:pStyle w:val="Subtitle"/>
        <w:rPr>
          <w:noProof/>
          <w:color w:val="000000" w:themeColor="text1"/>
          <w:sz w:val="24"/>
          <w:szCs w:val="24"/>
          <w:lang w:eastAsia="zh-CN"/>
        </w:rPr>
      </w:pPr>
      <w:r w:rsidRPr="00CA63DE">
        <w:rPr>
          <w:b/>
          <w:bCs/>
          <w:noProof/>
          <w:color w:val="000000" w:themeColor="text1"/>
          <w:sz w:val="24"/>
          <w:szCs w:val="24"/>
          <w:lang w:eastAsia="zh-CN"/>
        </w:rPr>
        <w:t>Arbitration:</w:t>
      </w:r>
      <w:r w:rsidRPr="00CA63DE">
        <w:rPr>
          <w:noProof/>
          <w:color w:val="000000" w:themeColor="text1"/>
          <w:sz w:val="24"/>
          <w:szCs w:val="24"/>
          <w:lang w:eastAsia="zh-CN"/>
        </w:rPr>
        <w:t xml:space="preserve"> Resolution of Commercial Disputes through Arbitral Tribunals;</w:t>
      </w:r>
    </w:p>
    <w:p w:rsidR="00CA63DE" w:rsidRPr="00CA63DE" w:rsidRDefault="00CA63DE" w:rsidP="00CA63DE">
      <w:pPr>
        <w:pStyle w:val="Subtitle"/>
        <w:rPr>
          <w:noProof/>
          <w:color w:val="000000" w:themeColor="text1"/>
          <w:sz w:val="24"/>
          <w:szCs w:val="24"/>
          <w:lang w:eastAsia="zh-CN"/>
        </w:rPr>
      </w:pPr>
      <w:r w:rsidRPr="00CA63DE">
        <w:rPr>
          <w:b/>
          <w:bCs/>
          <w:noProof/>
          <w:color w:val="000000" w:themeColor="text1"/>
          <w:sz w:val="24"/>
          <w:szCs w:val="24"/>
          <w:lang w:eastAsia="zh-CN"/>
        </w:rPr>
        <w:t>Supreme Court:</w:t>
      </w:r>
      <w:r w:rsidRPr="00CA63DE">
        <w:rPr>
          <w:noProof/>
          <w:color w:val="000000" w:themeColor="text1"/>
          <w:sz w:val="24"/>
          <w:szCs w:val="24"/>
          <w:lang w:eastAsia="zh-CN"/>
        </w:rPr>
        <w:t xml:space="preserve"> SLPs at Supreme Court; Enforcement of Guarantees at High Court and SLPs at Supreme Court;</w:t>
      </w:r>
    </w:p>
    <w:p w:rsidR="00CA63DE" w:rsidRPr="00CA63DE" w:rsidRDefault="00CA63DE" w:rsidP="00CA63DE">
      <w:pPr>
        <w:pStyle w:val="Subtitle"/>
        <w:rPr>
          <w:noProof/>
          <w:color w:val="000000" w:themeColor="text1"/>
          <w:sz w:val="24"/>
          <w:szCs w:val="24"/>
          <w:lang w:eastAsia="zh-CN"/>
        </w:rPr>
      </w:pPr>
      <w:r w:rsidRPr="00CA63DE">
        <w:rPr>
          <w:b/>
          <w:bCs/>
          <w:noProof/>
          <w:color w:val="000000" w:themeColor="text1"/>
          <w:sz w:val="24"/>
          <w:szCs w:val="24"/>
          <w:lang w:eastAsia="zh-CN"/>
        </w:rPr>
        <w:t>High Courts:</w:t>
      </w:r>
      <w:r w:rsidRPr="00CA63DE">
        <w:rPr>
          <w:noProof/>
          <w:color w:val="000000" w:themeColor="text1"/>
          <w:sz w:val="24"/>
          <w:szCs w:val="24"/>
          <w:lang w:eastAsia="zh-CN"/>
        </w:rPr>
        <w:t xml:space="preserve"> Writ Petitions, FAOs, RFAs, LPAs at High Court, Quashing Petitions; Enforcement of Foreign Awards;</w:t>
      </w:r>
    </w:p>
    <w:p w:rsidR="00CA63DE" w:rsidRPr="00CA63DE" w:rsidRDefault="00CA63DE" w:rsidP="00CA63DE">
      <w:pPr>
        <w:pStyle w:val="Subtitle"/>
        <w:rPr>
          <w:noProof/>
          <w:color w:val="000000" w:themeColor="text1"/>
          <w:sz w:val="24"/>
          <w:szCs w:val="24"/>
          <w:lang w:eastAsia="zh-CN"/>
        </w:rPr>
      </w:pPr>
      <w:r w:rsidRPr="00CA63DE">
        <w:rPr>
          <w:b/>
          <w:bCs/>
          <w:noProof/>
          <w:color w:val="000000" w:themeColor="text1"/>
          <w:sz w:val="24"/>
          <w:szCs w:val="24"/>
          <w:lang w:eastAsia="zh-CN"/>
        </w:rPr>
        <w:t>Lower Courts across the country:</w:t>
      </w:r>
      <w:r w:rsidRPr="00CA63DE">
        <w:rPr>
          <w:noProof/>
          <w:color w:val="000000" w:themeColor="text1"/>
          <w:sz w:val="24"/>
          <w:szCs w:val="24"/>
          <w:lang w:eastAsia="zh-CN"/>
        </w:rPr>
        <w:t xml:space="preserve"> Summary Suits/Recovery Suits at Commercial Courts; Execution Applications at Delhi and other places; Criminal Matters:FIRs, 156(3)s, Quashing Petitions, Bail Applications.;</w:t>
      </w:r>
    </w:p>
    <w:p w:rsidR="00CA63DE" w:rsidRPr="00CA63DE" w:rsidRDefault="00CA63DE" w:rsidP="00CA63DE">
      <w:pPr>
        <w:pStyle w:val="Subtitle"/>
        <w:rPr>
          <w:b/>
          <w:bCs/>
          <w:noProof/>
          <w:color w:val="000000" w:themeColor="text1"/>
          <w:sz w:val="24"/>
          <w:szCs w:val="24"/>
          <w:lang w:eastAsia="zh-CN"/>
        </w:rPr>
      </w:pPr>
      <w:bookmarkStart w:id="0" w:name="_GoBack"/>
      <w:bookmarkEnd w:id="0"/>
      <w:r w:rsidRPr="00CA63DE">
        <w:rPr>
          <w:b/>
          <w:bCs/>
          <w:noProof/>
          <w:color w:val="000000" w:themeColor="text1"/>
          <w:sz w:val="24"/>
          <w:szCs w:val="24"/>
          <w:lang w:eastAsia="zh-CN"/>
        </w:rPr>
        <w:t>Advocacy, Research, Writing</w:t>
      </w:r>
    </w:p>
    <w:p w:rsidR="00CA63DE" w:rsidRPr="00CA63DE" w:rsidRDefault="00CA63DE" w:rsidP="00CA63DE">
      <w:pPr>
        <w:pStyle w:val="Subtitle"/>
        <w:rPr>
          <w:rFonts w:eastAsia="Calibri"/>
          <w:noProof/>
          <w:color w:val="000000" w:themeColor="text1"/>
          <w:szCs w:val="20"/>
          <w:lang w:eastAsia="zh-CN"/>
        </w:rPr>
      </w:pPr>
      <w:r w:rsidRPr="00CA63DE">
        <w:rPr>
          <w:noProof/>
          <w:color w:val="000000" w:themeColor="text1"/>
          <w:sz w:val="24"/>
          <w:szCs w:val="24"/>
          <w:lang w:eastAsia="zh-CN"/>
        </w:rPr>
        <w:t>Industry position papers/articles on legal issues.Training of business teams / legal teams in drafting of commercial contracts, economic laws etc.</w:t>
      </w:r>
    </w:p>
    <w:p w:rsidR="00A204CA" w:rsidRPr="00CA63DE" w:rsidRDefault="00A204CA" w:rsidP="00CA63DE">
      <w:pPr>
        <w:pStyle w:val="Subtitle"/>
        <w:rPr>
          <w:color w:val="000000" w:themeColor="text1"/>
        </w:rPr>
      </w:pPr>
    </w:p>
    <w:sectPr w:rsidR="00A204CA" w:rsidRPr="00CA63D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8B2" w:rsidRDefault="004848B2" w:rsidP="00CA63DE">
      <w:pPr>
        <w:spacing w:line="240" w:lineRule="auto"/>
      </w:pPr>
      <w:r>
        <w:separator/>
      </w:r>
    </w:p>
  </w:endnote>
  <w:endnote w:type="continuationSeparator" w:id="0">
    <w:p w:rsidR="004848B2" w:rsidRDefault="004848B2" w:rsidP="00CA63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CA63DE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CA63DE" w:rsidRDefault="00CA63DE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CA63DE" w:rsidRDefault="00CA63DE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CA63DE">
      <w:trPr>
        <w:jc w:val="center"/>
      </w:trPr>
      <w:tc>
        <w:tcPr>
          <w:tcW w:w="4686" w:type="dxa"/>
          <w:shd w:val="clear" w:color="auto" w:fill="auto"/>
          <w:vAlign w:val="center"/>
        </w:tcPr>
        <w:p w:rsidR="00CA63DE" w:rsidRDefault="00CA63DE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:rsidR="00CA63DE" w:rsidRDefault="00CA63DE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DB4C5B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CA63DE" w:rsidRDefault="00CA63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8B2" w:rsidRDefault="004848B2" w:rsidP="00CA63DE">
      <w:pPr>
        <w:spacing w:line="240" w:lineRule="auto"/>
      </w:pPr>
      <w:r>
        <w:separator/>
      </w:r>
    </w:p>
  </w:footnote>
  <w:footnote w:type="continuationSeparator" w:id="0">
    <w:p w:rsidR="004848B2" w:rsidRDefault="004848B2" w:rsidP="00CA63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3DE" w:rsidRDefault="00CA63DE">
    <w:pPr>
      <w:pStyle w:val="Header"/>
    </w:pPr>
    <w:r>
      <w:rPr>
        <w:caps/>
        <w:noProof/>
        <w:color w:val="808080" w:themeColor="background1" w:themeShade="80"/>
        <w:szCs w:val="20"/>
        <w:lang w:bidi="hi-IN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3DE" w:rsidRDefault="00CA63DE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DB4C5B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CA63DE" w:rsidRDefault="00CA63DE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DB4C5B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E4F52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CDE764E"/>
    <w:multiLevelType w:val="hybridMultilevel"/>
    <w:tmpl w:val="BCF489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DE"/>
    <w:rsid w:val="004848B2"/>
    <w:rsid w:val="00575772"/>
    <w:rsid w:val="00A204CA"/>
    <w:rsid w:val="00CA63DE"/>
    <w:rsid w:val="00DB4C5B"/>
    <w:rsid w:val="00FA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5158B-7C44-4FF7-869F-4C3ADED6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3DE"/>
    <w:pPr>
      <w:spacing w:after="0" w:line="276" w:lineRule="auto"/>
    </w:pPr>
    <w:rPr>
      <w:rFonts w:ascii="Century Schoolbook" w:eastAsia="ヒラギノ角ゴ Pro W3" w:hAnsi="Century Schoolbook" w:cs="Times New Roman"/>
      <w:color w:val="404040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3DE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CA63D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A63DE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CA63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3DE"/>
    <w:rPr>
      <w:rFonts w:ascii="Century Schoolbook" w:eastAsia="ヒラギノ角ゴ Pro W3" w:hAnsi="Century Schoolbook" w:cs="Times New Roman"/>
      <w:color w:val="404040"/>
      <w:spacing w:val="40"/>
      <w:sz w:val="20"/>
    </w:rPr>
  </w:style>
  <w:style w:type="paragraph" w:styleId="Footer">
    <w:name w:val="footer"/>
    <w:basedOn w:val="Normal"/>
    <w:link w:val="FooterChar"/>
    <w:uiPriority w:val="99"/>
    <w:unhideWhenUsed/>
    <w:rsid w:val="00CA63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3DE"/>
    <w:rPr>
      <w:rFonts w:ascii="Century Schoolbook" w:eastAsia="ヒラギノ角ゴ Pro W3" w:hAnsi="Century Schoolbook" w:cs="Times New Roman"/>
      <w:color w:val="404040"/>
      <w:spacing w:val="4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ANUATION_22</dc:creator>
  <cp:keywords/>
  <dc:description/>
  <cp:lastModifiedBy>ANUATION_22</cp:lastModifiedBy>
  <cp:revision>2</cp:revision>
  <dcterms:created xsi:type="dcterms:W3CDTF">2021-01-18T09:59:00Z</dcterms:created>
  <dcterms:modified xsi:type="dcterms:W3CDTF">2021-01-18T10:04:00Z</dcterms:modified>
</cp:coreProperties>
</file>